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克州乡村振兴局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2022年04月20日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执行国家、自治区扶贫方针政策，研究制定克州扶贫开发战略规划、政策措施并组织实施。统筹编制国家和自治区用于克州扶贫开发的专项资金、物资分配方案，制定完善扶贫专项资金、物资的管理办法，监督检查物资的管理和使用情况。会同有关部门（单位）提出、审核扶贫开发项目计划，组织、协调和监管扶贫开发项目。组织实施产业化扶贫计划，引导、扶持扶贫龙头企业发展，协调管理信贷扶贫工作。编制并组织实施贫困劳动力、贫困地区干部培训计划，协调贫困地区人力资源工作；研究建立贫困地区自然灾害应对机制，指导贫困地区应对自然灾害和灾后重建工作。组织协调并开展对口支援贫困地区、中央定点帮扶新疆、自治区定点帮扶和东西部扶贫协作工作；动员社会各界扶贫济困，协助有关部门（单位）向克州引进人才、技术、资金和设备。组织开展扶贫考核评价、扶贫经验交流、扶贫信息搜集、扶贫宣传工作。贯彻落实国家、自治区关于脱贫攻坚大数据平台建设运用管理工作要求。指导各县（市）做好脱贫攻坚大数据平台建设运用管理工作，加强建设运营管理，统筹抓好组织实施，加强技术支持，强化监督管理，为打好精准脱贫攻坚战奠定坚实基础。负责贫困户建档立卡管理，配合开展扶贫审计工作。承办克州党委、克州人民政府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克孜勒苏柯尔克孜自治州乡村振兴局无下属单位，下设6个科室，分别是：综合科、规划科、社会扶贫科、扶贫信息中心、扶贫项目管理中心、扶贫宣传中心。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克孜勒苏柯尔克孜自治州乡村振兴局编制数31人，其中：行政编制8人。工勤编制1人，事业编制12人，退休人员10人。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持续巩固拓展脱贫攻坚成果，牢牢守住不发生规模性返贫底线（1）完善和落实防止返贫监测帮扶机制。（2）配合农业农村部门推动产业发展。（3）配合人力资源和社会保障部门促进脱贫人口稳岗就业。（4）配合发展和改革部门做好易地扶贫搬迁后续扶持工作。（5）深化对口援疆、定点帮扶、区内协作和社会帮扶。（6）用好驻村工作队和农村基层组织。（二）扎实推进乡村建设，着力改善农村生产生活条件（7）落实乡村建设行动方案。（8）集中力量支持12个乡村振兴示范村建设。（9）推进农村人居环境整治提升。（10）稳妥有序推进农村厕所革命。（三）加强和改进乡村治理，提高乡村善治水平（11）健全协调推进的治理体系。（12）推广积分制、清单制、数字化治理等乡村治理方式。（13）推进农村移风易俗。（四）强化支撑保障，推动各项重点工作落地见效（14）用好用足衔接政策。（15）管好用好资金项目。（16）强化乡村振兴人才支撑。（17）做好考核评估迎检工作。（18）加强乡村振兴示范宣传。（五）加强系统建设，提高推进乡村振兴工作本领（19）深入学习贯彻习近平总书记关于“三农”工作重要论述。（20）配合出台自治州乡村振兴局“三定”规定。（21）抓好乡村振兴专题培训工作。（22）加强机关党的建设。（23）统筹服务重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孜勒苏柯尔克孜自治州乡村振兴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孜勒苏柯尔克孜自治州乡村振兴局集体决策制度》和《克孜勒苏柯尔克孜自治州乡村振兴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孜勒苏柯尔克孜自治州乡村振兴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孜勒苏柯尔克孜自治州乡村振兴局合同管理办法》相关规定，克孜勒苏柯尔克孜自治州乡村振兴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422.65万元，项目支出安排资金214.61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本单位2021年度项目支出214.61万元，涉及项目数量4个，其中：重点项目支出137.61万元，涉及重点项目数量1个，重点项目支出与部门项目总支出的比率为64.12%。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2021年度本单位年初批复部门预算资金总额为605.21万元，年中调增预算总额为32.05万元，调整后全年预算资金总额为637.26万元。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2021年度本单位部门整体支出资金总额为637.26万元，预算执行率为100%，预算调整率为5.</w:t>
      </w:r>
      <w:r>
        <w:rPr>
          <w:rFonts w:hint="eastAsia" w:ascii="仿宋_GB2312" w:hAnsi="宋体" w:eastAsia="仿宋_GB2312"/>
          <w:b w:val="0"/>
          <w:bCs/>
          <w:sz w:val="32"/>
          <w:szCs w:val="32"/>
          <w:lang w:val="en-US" w:eastAsia="zh-CN"/>
        </w:rPr>
        <w:t>29</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年初政府采购预算数为115万元，实际政府采购数为121.4万元，政府采购执行率为105.57%。</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为加强我单位预算管理、规范财务行为我单位制定了《克孜勒苏柯尔克孜自治州乡村振兴局内部控制规范》《克孜勒苏柯尔克孜自治州乡村振兴局项目管理规范》等资金管理制度，已建立制度均健全且有效运行。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2021年度我单位基本支出预算总额为422.65万元，其中人员经费398.50万元，公用经费24.15万元。实际执行总额为422.65万元，预算执行率100%。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13.65万元，比上年减少20.25万元，减少59.73%，主要原因是：按照厉行节约的要求，2021年缩减公务车运行维护费，因此支出随之减少。其中，因公出国（境）费支出0万元；公务用车购置及运行维护费支出9.13万元；公务接待费支出4.52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与年初预算数相比情况：一般公共预算“三公”经费支出年初预算数34元，预算执行数为13.65万元，执行率为40.15%，主要原因是：按照厉行节约的要求，2021年缩减公务车运行维护费，因此支出随之减少。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2021年度本单位项目支出预算总额为300万元，实际执行资金总额为214.61万元，预算执行率为71.54%。</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2021年度预算安排专项资金12万元，实际支出资金12万元，预算执行率为100%，涉及项目个数1个。专项经费按照政策要求实行专款专用，不存在截留、挤占、挪用、虚列支出。各项目详细执行情况如下：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2021年度预算安排本级财力资金288万元，实际支出资金202.61万元，预算执行率为70.35%，涉及项目个数3个，各项目详细执行情况如下：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扶贫工作经费项目:全年预算数为223万元，预算执行数为137.61万元，预算执行率为61.71%。</w:t>
      </w:r>
      <w:r>
        <w:rPr>
          <w:rFonts w:hint="eastAsia" w:ascii="仿宋_GB2312" w:hAnsi="宋体" w:eastAsia="仿宋_GB2312"/>
          <w:b w:val="0"/>
          <w:bCs/>
          <w:sz w:val="32"/>
          <w:szCs w:val="32"/>
        </w:rPr>
        <w:cr/>
      </w:r>
      <w:r>
        <w:rPr>
          <w:rFonts w:hint="eastAsia" w:ascii="仿宋_GB2312" w:hAnsi="宋体" w:eastAsia="仿宋_GB2312"/>
          <w:b w:val="0"/>
          <w:bCs/>
          <w:sz w:val="32"/>
          <w:szCs w:val="32"/>
        </w:rPr>
        <w:t>　　扶贫项目管理费项目:全年预算数为60万元，预算执行数为60万元，预算执行率为100%。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为民办实事和第一书记工作经费项目:依据《自治区“访民情惠民生聚民心”驻村工作为民办实事工作经费使用管理办法（试行）的通知》（新民办发[2016]62号）文件。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12万元，资金全部到位，实际使用资金12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①制订《克孜勒苏柯尔克孜自治州乡村振兴局经费使用规范》,为合理合规使用经费提供了有力的制度保障。同时,建立区委组织部项目经费内部管控制度，并严格按要求落实。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主要用于“访惠聚”通过开展节假日慰问、组织各类文体、宣传等活动，实现现代文化引领，逐步提高文化队伍建设，通过各类渠道帮助形成良好的社会氛围，有利于民族团结一家亲及为农民办好事，提高农民生活质量。</w:t>
      </w:r>
      <w:r>
        <w:rPr>
          <w:rFonts w:hint="eastAsia" w:ascii="仿宋_GB2312" w:hAnsi="宋体" w:eastAsia="仿宋_GB2312"/>
          <w:b w:val="0"/>
          <w:bCs/>
          <w:sz w:val="32"/>
          <w:szCs w:val="32"/>
        </w:rPr>
        <w:tab/>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本单位2021年初资产合计数为2029.02万元，年末资产合计数为2111.62万元。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截止本年度固定资产账面净值124.45万元，年末实际在用固定资产124.45万元，固定资产利用率为100%。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部门单位整体支出共设置一级指标3个，二级指标7个，三级指标14个，其中已完成三级指标13个，指标完成率为92.86%。</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“保障人员数”指标：预期指标值为=29人，实际完成指标值为31人，指标完成率为100%。偏差原因：调入4人，辞职1人，退休1人，改进措施：做好年初预算。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“调研指导乡村”指标：预期指标值为&gt;=36个，实际完成指标值为36个，指标完成率为100%。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“督查扶贫项目”指标：预期指标值为=367个，实际完成指标值为367个，指标完成率为100%。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“群众工作走访覆盖率”指标：预期指标值为=100%，实际完成指标值为100%，指标完成率为100%。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“项目验收合格率”指标：预期指标值为=100%，实际完成指标值为100%，指标完成率为100%。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“基本支出”指标：预期指标值为=305.21万元，实际完成指标值为305.21万元，指标完成率为100%。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“群众工作经费”指标：预期指标值为=5万元，实际完成指标值为5万元，指标完成率为100%。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扶贫工作经费”指标：预期指标值为=223万元，实际完成指标值为137.61万元，指标完成率为59.06%。偏差原因：脱贫攻坚战结束，转型为乡村振兴，上半年机构改革，单位办公经费开支较少。改进措施：对办公经费合理预算，及时支付计划资金</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“扶贫项目管理费”指标：预期指标值为=60万元，实际完成指标值为60万元，指标完成率为100%。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“第一书记为民办实事”指标：预期指标值为=12万元，实际完成指标值为12万元，指标完成率为100%。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无经济效益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“大力宣传脱贫攻坚成就，持续开展好感恩教育”指标：预期指标值为持续改善，实际完成指标值为持续改善，指标完成率为100%。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“以乡村振兴巩固扩大脱贫攻坚成果”指标：预期指标值为持续改善，实际完成指标值为持续改善，指标完成率为100%。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“受益群体的满意度”指标：预期指标值为&gt;=95%，实际完成指标值为95%，指标完成率为100%。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51C70EA9"/>
    <w:rsid w:val="54F842B6"/>
    <w:rsid w:val="656071F2"/>
    <w:rsid w:val="6BF1756B"/>
    <w:rsid w:val="6CFC1899"/>
    <w:rsid w:val="6F5E1AA3"/>
    <w:rsid w:val="797F2D06"/>
    <w:rsid w:val="7B7E28F4"/>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2022-05-23T14:41:46Z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